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 xml:space="preserve">ЭКОНОМИКА </w:t>
      </w:r>
      <w:proofErr w:type="gramStart"/>
      <w:r w:rsidR="004F0048">
        <w:rPr>
          <w:rFonts w:ascii="Times New Roman" w:hAnsi="Times New Roman"/>
          <w:b/>
          <w:sz w:val="24"/>
          <w:szCs w:val="24"/>
        </w:rPr>
        <w:t>БУДУЩЕГО-ЧЕСТНАЯ</w:t>
      </w:r>
      <w:proofErr w:type="gramEnd"/>
      <w:r w:rsidR="004F0048">
        <w:rPr>
          <w:rFonts w:ascii="Times New Roman" w:hAnsi="Times New Roman"/>
          <w:b/>
          <w:sz w:val="24"/>
          <w:szCs w:val="24"/>
        </w:rPr>
        <w:t xml:space="preserve">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  <w:proofErr w:type="gramEnd"/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8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9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10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lastRenderedPageBreak/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bookmarkStart w:id="1" w:name="_GoBack"/>
      <w:bookmarkEnd w:id="1"/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1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3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скан-копий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необходимо </w:t>
      </w:r>
      <w:proofErr w:type="gramStart"/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предоставить документ</w:t>
      </w:r>
      <w:proofErr w:type="gramEnd"/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  <w:proofErr w:type="gramEnd"/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</w:t>
      </w:r>
      <w:proofErr w:type="gramStart"/>
      <w:r w:rsidRPr="00086DBC">
        <w:rPr>
          <w:rFonts w:ascii="Times New Roman" w:eastAsia="Times New Roman" w:hAnsi="Times New Roman"/>
          <w:sz w:val="24"/>
          <w:szCs w:val="24"/>
        </w:rPr>
        <w:t>рс вкл</w:t>
      </w:r>
      <w:proofErr w:type="gramEnd"/>
      <w:r w:rsidRPr="00086DBC">
        <w:rPr>
          <w:rFonts w:ascii="Times New Roman" w:eastAsia="Times New Roman" w:hAnsi="Times New Roman"/>
          <w:sz w:val="24"/>
          <w:szCs w:val="24"/>
        </w:rPr>
        <w:t>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5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группа экспертной комиссии </w:t>
      </w:r>
      <w:proofErr w:type="gramStart"/>
      <w:r w:rsidRPr="005A540F">
        <w:rPr>
          <w:rFonts w:ascii="Times New Roman" w:eastAsia="Times New Roman" w:hAnsi="Times New Roman"/>
          <w:color w:val="000000"/>
          <w:sz w:val="24"/>
          <w:szCs w:val="24"/>
        </w:rPr>
        <w:t>принимает заявки на участие в Конкурсе и отклоняет</w:t>
      </w:r>
      <w:proofErr w:type="gramEnd"/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заявки 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и представляет</w:t>
      </w:r>
      <w:proofErr w:type="gramEnd"/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2020 года и представляет собой выполнение открытых и закрытых тестовых заданий в онлайн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4E80">
        <w:rPr>
          <w:rFonts w:ascii="Times New Roman" w:eastAsia="Times New Roman" w:hAnsi="Times New Roman"/>
          <w:sz w:val="24"/>
          <w:szCs w:val="24"/>
        </w:rPr>
        <w:t xml:space="preserve"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E4E80">
        <w:rPr>
          <w:rFonts w:ascii="Times New Roman" w:eastAsia="Times New Roman" w:hAnsi="Times New Roman"/>
          <w:sz w:val="24"/>
          <w:szCs w:val="24"/>
        </w:rPr>
        <w:t xml:space="preserve">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примеры, анализ </w:t>
      </w:r>
      <w:proofErr w:type="spellStart"/>
      <w:proofErr w:type="gramStart"/>
      <w:r w:rsidRPr="002747EB">
        <w:rPr>
          <w:rFonts w:ascii="Times New Roman" w:eastAsia="Times New Roman" w:hAnsi="Times New Roman"/>
          <w:sz w:val="24"/>
          <w:szCs w:val="24"/>
        </w:rPr>
        <w:t>контр-аргументов</w:t>
      </w:r>
      <w:proofErr w:type="spellEnd"/>
      <w:proofErr w:type="gramEnd"/>
      <w:r w:rsidRPr="002747EB">
        <w:rPr>
          <w:rFonts w:ascii="Times New Roman" w:eastAsia="Times New Roman" w:hAnsi="Times New Roman"/>
          <w:sz w:val="24"/>
          <w:szCs w:val="24"/>
        </w:rPr>
        <w:t xml:space="preserve">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</w:t>
      </w:r>
      <w:proofErr w:type="gramStart"/>
      <w:r w:rsidRPr="00B43FDB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B43FDB">
        <w:rPr>
          <w:rFonts w:ascii="Times New Roman" w:eastAsia="Times New Roman" w:hAnsi="Times New Roman"/>
          <w:sz w:val="24"/>
          <w:szCs w:val="24"/>
        </w:rPr>
        <w:t xml:space="preserve">, шрифт –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 xml:space="preserve">, 14 пт., выполненные в формате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</w:t>
      </w:r>
      <w:proofErr w:type="spellStart"/>
      <w:r w:rsidRPr="00B43FDB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B43FDB">
        <w:rPr>
          <w:rFonts w:ascii="Times New Roman" w:eastAsia="Times New Roman" w:hAnsi="Times New Roman"/>
          <w:sz w:val="24"/>
          <w:szCs w:val="24"/>
        </w:rPr>
        <w:t xml:space="preserve"> на сайте </w:t>
      </w:r>
      <w:hyperlink r:id="rId16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43FDB">
        <w:rPr>
          <w:rFonts w:ascii="Times New Roman" w:eastAsia="Times New Roman" w:hAnsi="Times New Roman"/>
          <w:sz w:val="24"/>
          <w:szCs w:val="24"/>
        </w:rPr>
        <w:t>Время, предоставленное на решение ограничено</w:t>
      </w:r>
      <w:proofErr w:type="gramEnd"/>
      <w:r w:rsidRPr="00B43FDB">
        <w:rPr>
          <w:rFonts w:ascii="Times New Roman" w:eastAsia="Times New Roman" w:hAnsi="Times New Roman"/>
          <w:sz w:val="24"/>
          <w:szCs w:val="24"/>
        </w:rPr>
        <w:t>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369"/>
        <w:gridCol w:w="2641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количеству набранных баллов составляется единый рейтинговый список участников конкурсного отбора от наибольшего количества баллов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Список победителей Конкурса публикуются на сайте Организаторов (п.1.4.) в срок не позднее 10 рабочих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Сертификатам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Сертификат победителя Конкурса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является именным и не подлежит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8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Миннахметов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Миннигараевич</w:t>
      </w:r>
      <w:proofErr w:type="spellEnd"/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</w:t>
      </w:r>
      <w:proofErr w:type="gramStart"/>
      <w:r w:rsidR="00644704" w:rsidRPr="00622ABC">
        <w:rPr>
          <w:rFonts w:ascii="Times New Roman" w:eastAsia="Times New Roman" w:hAnsi="Times New Roman"/>
          <w:sz w:val="24"/>
          <w:szCs w:val="24"/>
        </w:rPr>
        <w:t>Федеральной</w:t>
      </w:r>
      <w:proofErr w:type="gramEnd"/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Казань), </w:t>
      </w:r>
      <w:proofErr w:type="spellStart"/>
      <w:r w:rsidR="00644704" w:rsidRPr="00622ABC">
        <w:rPr>
          <w:rFonts w:ascii="Times New Roman" w:eastAsia="Times New Roman" w:hAnsi="Times New Roman"/>
          <w:sz w:val="24"/>
          <w:szCs w:val="24"/>
        </w:rPr>
        <w:t>конт</w:t>
      </w:r>
      <w:proofErr w:type="spellEnd"/>
      <w:r w:rsidR="00644704" w:rsidRPr="00622ABC">
        <w:rPr>
          <w:rFonts w:ascii="Times New Roman" w:eastAsia="Times New Roman" w:hAnsi="Times New Roman"/>
          <w:sz w:val="24"/>
          <w:szCs w:val="24"/>
        </w:rPr>
        <w:t>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заявку-анкету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9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20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A0" w:rsidRDefault="00F971A0">
      <w:r>
        <w:separator/>
      </w:r>
    </w:p>
  </w:endnote>
  <w:endnote w:type="continuationSeparator" w:id="0">
    <w:p w:rsidR="00F971A0" w:rsidRDefault="00F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96219B">
      <w:rPr>
        <w:rFonts w:ascii="Times New Roman" w:hAnsi="Times New Roman"/>
        <w:noProof/>
        <w:sz w:val="24"/>
      </w:rPr>
      <w:t>2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A0" w:rsidRDefault="00F971A0">
      <w:r>
        <w:separator/>
      </w:r>
    </w:p>
  </w:footnote>
  <w:footnote w:type="continuationSeparator" w:id="0">
    <w:p w:rsidR="00F971A0" w:rsidRDefault="00F9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036D0"/>
    <w:rsid w:val="004278D3"/>
    <w:rsid w:val="00432D71"/>
    <w:rsid w:val="0044765F"/>
    <w:rsid w:val="0045567C"/>
    <w:rsid w:val="00474540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675B1"/>
    <w:rsid w:val="00697574"/>
    <w:rsid w:val="006A3843"/>
    <w:rsid w:val="006F2EF1"/>
    <w:rsid w:val="00717647"/>
    <w:rsid w:val="0073267B"/>
    <w:rsid w:val="00736DB7"/>
    <w:rsid w:val="007413CD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F2515"/>
    <w:rsid w:val="00EF43F8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https://artek.org/informaciya-dlya-roditelyay/medicinskie-trebovaniya/" TargetMode="External"/><Relationship Id="rId18" Type="http://schemas.openxmlformats.org/officeDocument/2006/relationships/hyperlink" Target="mailto:emc.artek@fas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etition-academy.ru/login/index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c.artek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c.fas.gov.ru/meropriyatiya/anonsy" TargetMode="External"/><Relationship Id="rId10" Type="http://schemas.openxmlformats.org/officeDocument/2006/relationships/hyperlink" Target="http://artek.org/informaciya-dlya-roditelyay/kak-poluchitsya-putevku-v-artek/" TargetMode="External"/><Relationship Id="rId19" Type="http://schemas.openxmlformats.org/officeDocument/2006/relationships/hyperlink" Target="mailto:emc.artek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.gov.ru" TargetMode="External"/><Relationship Id="rId14" Type="http://schemas.openxmlformats.org/officeDocument/2006/relationships/hyperlink" Target="mailto:emc.artek@fas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admin</cp:lastModifiedBy>
  <cp:revision>6</cp:revision>
  <cp:lastPrinted>2019-05-26T20:04:00Z</cp:lastPrinted>
  <dcterms:created xsi:type="dcterms:W3CDTF">2020-01-14T07:52:00Z</dcterms:created>
  <dcterms:modified xsi:type="dcterms:W3CDTF">2020-01-14T10:56:00Z</dcterms:modified>
</cp:coreProperties>
</file>